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40" w:rsidRDefault="00224B40">
      <w:pPr>
        <w:rPr>
          <w:sz w:val="24"/>
          <w:szCs w:val="24"/>
        </w:rPr>
      </w:pPr>
    </w:p>
    <w:p w:rsidR="00224B40" w:rsidRDefault="00224B40">
      <w:pPr>
        <w:rPr>
          <w:sz w:val="24"/>
          <w:szCs w:val="24"/>
        </w:rPr>
      </w:pPr>
    </w:p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4A4">
        <w:rPr>
          <w:sz w:val="24"/>
          <w:szCs w:val="24"/>
        </w:rPr>
        <w:t>156 - 15</w:t>
      </w:r>
      <w:bookmarkStart w:id="0" w:name="_GoBack"/>
      <w:bookmarkEnd w:id="0"/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A87865">
        <w:rPr>
          <w:sz w:val="24"/>
          <w:szCs w:val="24"/>
        </w:rPr>
        <w:t>Morten Braut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475193">
        <w:rPr>
          <w:sz w:val="24"/>
          <w:szCs w:val="24"/>
        </w:rPr>
        <w:t>12.</w:t>
      </w:r>
      <w:r w:rsidR="00D01FD5">
        <w:rPr>
          <w:sz w:val="24"/>
          <w:szCs w:val="24"/>
        </w:rPr>
        <w:t>11.</w:t>
      </w:r>
      <w:r w:rsidR="00475193">
        <w:rPr>
          <w:sz w:val="24"/>
          <w:szCs w:val="24"/>
        </w:rPr>
        <w:t>2015</w:t>
      </w:r>
    </w:p>
    <w:p w:rsidR="004E0F9A" w:rsidRDefault="004E0F9A">
      <w:pPr>
        <w:rPr>
          <w:sz w:val="24"/>
          <w:szCs w:val="24"/>
        </w:rPr>
      </w:pPr>
    </w:p>
    <w:p w:rsidR="00A87865" w:rsidRPr="00A87865" w:rsidRDefault="00A87865" w:rsidP="00A87865">
      <w:pPr>
        <w:rPr>
          <w:b/>
          <w:sz w:val="28"/>
          <w:szCs w:val="28"/>
          <w:u w:val="single"/>
        </w:rPr>
      </w:pPr>
      <w:r w:rsidRPr="00A87865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YGGEPROGRAM</w:t>
      </w:r>
      <w:r w:rsidRPr="00A87865">
        <w:rPr>
          <w:b/>
          <w:sz w:val="28"/>
          <w:szCs w:val="28"/>
          <w:u w:val="single"/>
        </w:rPr>
        <w:t xml:space="preserve"> </w:t>
      </w:r>
      <w:r w:rsidR="00475193">
        <w:rPr>
          <w:b/>
          <w:sz w:val="28"/>
          <w:szCs w:val="28"/>
          <w:u w:val="single"/>
        </w:rPr>
        <w:t xml:space="preserve">(K0) </w:t>
      </w:r>
      <w:r>
        <w:rPr>
          <w:b/>
          <w:sz w:val="28"/>
          <w:szCs w:val="28"/>
          <w:u w:val="single"/>
        </w:rPr>
        <w:t>FOR</w:t>
      </w:r>
      <w:r w:rsidR="00475193">
        <w:rPr>
          <w:b/>
          <w:sz w:val="28"/>
          <w:szCs w:val="28"/>
          <w:u w:val="single"/>
        </w:rPr>
        <w:t xml:space="preserve"> 12</w:t>
      </w:r>
      <w:r w:rsidRPr="00A87865">
        <w:rPr>
          <w:b/>
          <w:sz w:val="28"/>
          <w:szCs w:val="28"/>
          <w:u w:val="single"/>
        </w:rPr>
        <w:t xml:space="preserve"> BOLIGER FOR FUNKSJONSHEMMEDE PÅ BOGAFJELL GNR. 50, BNR. 6. D</w:t>
      </w:r>
      <w:r>
        <w:rPr>
          <w:b/>
          <w:sz w:val="28"/>
          <w:szCs w:val="28"/>
          <w:u w:val="single"/>
        </w:rPr>
        <w:t>ELFELT</w:t>
      </w:r>
      <w:r w:rsidRPr="00A8786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TJ</w:t>
      </w:r>
      <w:r w:rsidRPr="00A87865">
        <w:rPr>
          <w:b/>
          <w:sz w:val="28"/>
          <w:szCs w:val="28"/>
          <w:u w:val="single"/>
        </w:rPr>
        <w:t>1.</w:t>
      </w:r>
    </w:p>
    <w:p w:rsidR="00D01FD5" w:rsidRDefault="00D01FD5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A87865" w:rsidRPr="000235FD" w:rsidRDefault="00A87865" w:rsidP="00A87865">
      <w:r w:rsidRPr="000235FD">
        <w:t>I Bystyrets behandling av økonomiplan 201</w:t>
      </w:r>
      <w:r>
        <w:t>5</w:t>
      </w:r>
      <w:r w:rsidRPr="000235FD">
        <w:t>-201</w:t>
      </w:r>
      <w:r>
        <w:t>8</w:t>
      </w:r>
      <w:r w:rsidRPr="000235FD">
        <w:t xml:space="preserve">, ble det vedtatt å avsette midler til </w:t>
      </w:r>
      <w:r>
        <w:t xml:space="preserve">boliger for funksjonshemmede, ca 10 stk. </w:t>
      </w:r>
    </w:p>
    <w:tbl>
      <w:tblPr>
        <w:tblW w:w="7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992"/>
        <w:gridCol w:w="992"/>
        <w:gridCol w:w="992"/>
        <w:gridCol w:w="993"/>
      </w:tblGrid>
      <w:tr w:rsidR="00A87865" w:rsidRPr="000235FD" w:rsidTr="006F4136">
        <w:trPr>
          <w:cantSplit/>
        </w:trPr>
        <w:tc>
          <w:tcPr>
            <w:tcW w:w="2338" w:type="dxa"/>
          </w:tcPr>
          <w:p w:rsidR="00A87865" w:rsidRPr="000235FD" w:rsidRDefault="00A87865" w:rsidP="006F4136">
            <w:pPr>
              <w:jc w:val="center"/>
              <w:rPr>
                <w:b/>
              </w:rPr>
            </w:pPr>
            <w:r w:rsidRPr="000235FD">
              <w:rPr>
                <w:b/>
              </w:rPr>
              <w:t>Prosjekt</w:t>
            </w:r>
          </w:p>
        </w:tc>
        <w:tc>
          <w:tcPr>
            <w:tcW w:w="1560" w:type="dxa"/>
          </w:tcPr>
          <w:p w:rsidR="00A87865" w:rsidRPr="000235FD" w:rsidRDefault="00A87865" w:rsidP="006F4136">
            <w:pPr>
              <w:jc w:val="center"/>
              <w:rPr>
                <w:b/>
              </w:rPr>
            </w:pPr>
            <w:r w:rsidRPr="000235FD">
              <w:rPr>
                <w:b/>
              </w:rPr>
              <w:t>Budsjett</w:t>
            </w:r>
          </w:p>
        </w:tc>
        <w:tc>
          <w:tcPr>
            <w:tcW w:w="992" w:type="dxa"/>
          </w:tcPr>
          <w:p w:rsidR="00A87865" w:rsidRPr="000235FD" w:rsidRDefault="00A87865" w:rsidP="006F4136">
            <w:pPr>
              <w:jc w:val="center"/>
              <w:rPr>
                <w:b/>
              </w:rPr>
            </w:pPr>
            <w:r w:rsidRPr="000235FD">
              <w:rPr>
                <w:b/>
              </w:rPr>
              <w:t xml:space="preserve">Bevilget </w:t>
            </w:r>
            <w:r>
              <w:rPr>
                <w:b/>
              </w:rPr>
              <w:t>i økonomiplan 2015-2018</w:t>
            </w:r>
          </w:p>
        </w:tc>
        <w:tc>
          <w:tcPr>
            <w:tcW w:w="992" w:type="dxa"/>
          </w:tcPr>
          <w:p w:rsidR="00A87865" w:rsidRPr="000235FD" w:rsidRDefault="00A87865" w:rsidP="006F4136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87865" w:rsidRPr="000235FD" w:rsidRDefault="00A87865" w:rsidP="006F4136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A87865" w:rsidRPr="000235FD" w:rsidRDefault="00A87865" w:rsidP="006F4136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A87865" w:rsidRPr="000235FD" w:rsidTr="006F4136">
        <w:trPr>
          <w:cantSplit/>
        </w:trPr>
        <w:tc>
          <w:tcPr>
            <w:tcW w:w="2338" w:type="dxa"/>
          </w:tcPr>
          <w:p w:rsidR="00A87865" w:rsidRPr="000235FD" w:rsidRDefault="00A87865" w:rsidP="006F4136">
            <w:r>
              <w:t>Prosjektnr:</w:t>
            </w:r>
            <w:r>
              <w:tab/>
              <w:t>21029</w:t>
            </w:r>
          </w:p>
          <w:p w:rsidR="00A87865" w:rsidRPr="000235FD" w:rsidRDefault="00A87865" w:rsidP="006F4136">
            <w:r>
              <w:t>Ansvar:</w:t>
            </w:r>
            <w:r>
              <w:tab/>
              <w:t>30</w:t>
            </w:r>
          </w:p>
          <w:p w:rsidR="00A87865" w:rsidRDefault="00A87865" w:rsidP="006F4136">
            <w:r>
              <w:t>Tjeneste:</w:t>
            </w:r>
            <w:r>
              <w:tab/>
              <w:t>2653</w:t>
            </w:r>
          </w:p>
          <w:p w:rsidR="00A87865" w:rsidRPr="000235FD" w:rsidRDefault="00A87865" w:rsidP="006F4136">
            <w:r>
              <w:t xml:space="preserve">Tilskudd: Husbanken </w:t>
            </w:r>
          </w:p>
        </w:tc>
        <w:tc>
          <w:tcPr>
            <w:tcW w:w="1560" w:type="dxa"/>
          </w:tcPr>
          <w:p w:rsidR="00A87865" w:rsidRDefault="00A87865" w:rsidP="006F4136">
            <w:pPr>
              <w:jc w:val="center"/>
            </w:pPr>
            <w:r>
              <w:t xml:space="preserve">40 </w:t>
            </w:r>
            <w:r w:rsidRPr="000235FD">
              <w:t>MNOK</w:t>
            </w:r>
          </w:p>
          <w:p w:rsidR="00A87865" w:rsidRDefault="00A87865" w:rsidP="006F4136">
            <w:pPr>
              <w:jc w:val="center"/>
            </w:pPr>
          </w:p>
          <w:p w:rsidR="00A87865" w:rsidRDefault="00A87865" w:rsidP="006F4136">
            <w:pPr>
              <w:jc w:val="center"/>
            </w:pPr>
          </w:p>
          <w:p w:rsidR="00A87865" w:rsidRPr="000235FD" w:rsidRDefault="00A87865" w:rsidP="006F4136">
            <w:r>
              <w:t>- MNOK</w:t>
            </w:r>
          </w:p>
        </w:tc>
        <w:tc>
          <w:tcPr>
            <w:tcW w:w="992" w:type="dxa"/>
          </w:tcPr>
          <w:p w:rsidR="00A87865" w:rsidRPr="000235FD" w:rsidRDefault="00A87865" w:rsidP="006F4136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87865" w:rsidRPr="000235FD" w:rsidRDefault="00A87865" w:rsidP="006F4136">
            <w:pPr>
              <w:jc w:val="center"/>
            </w:pPr>
            <w:r>
              <w:t>5 000</w:t>
            </w:r>
          </w:p>
        </w:tc>
        <w:tc>
          <w:tcPr>
            <w:tcW w:w="992" w:type="dxa"/>
          </w:tcPr>
          <w:p w:rsidR="00A87865" w:rsidRPr="000235FD" w:rsidRDefault="00A87865" w:rsidP="006F4136">
            <w:pPr>
              <w:jc w:val="center"/>
            </w:pPr>
            <w:r>
              <w:t>25 000</w:t>
            </w:r>
          </w:p>
        </w:tc>
        <w:tc>
          <w:tcPr>
            <w:tcW w:w="993" w:type="dxa"/>
          </w:tcPr>
          <w:p w:rsidR="00A87865" w:rsidRDefault="00A87865" w:rsidP="006F4136">
            <w:pPr>
              <w:jc w:val="center"/>
            </w:pPr>
            <w:r>
              <w:t>10 000</w:t>
            </w:r>
          </w:p>
          <w:p w:rsidR="00A87865" w:rsidRDefault="00A87865" w:rsidP="006F4136">
            <w:pPr>
              <w:jc w:val="center"/>
            </w:pPr>
          </w:p>
          <w:p w:rsidR="00A87865" w:rsidRDefault="00A87865" w:rsidP="006F4136">
            <w:pPr>
              <w:jc w:val="center"/>
            </w:pPr>
          </w:p>
          <w:p w:rsidR="00A87865" w:rsidRPr="000235FD" w:rsidRDefault="00A87865" w:rsidP="006F4136">
            <w:r>
              <w:t>-15 300</w:t>
            </w:r>
          </w:p>
        </w:tc>
      </w:tr>
    </w:tbl>
    <w:p w:rsidR="00D01FD5" w:rsidRDefault="00D01FD5" w:rsidP="00B30221">
      <w:pPr>
        <w:rPr>
          <w:b/>
          <w:sz w:val="28"/>
          <w:szCs w:val="28"/>
          <w:u w:val="single"/>
        </w:rPr>
      </w:pPr>
    </w:p>
    <w:p w:rsidR="00D01FD5" w:rsidRDefault="00D01FD5">
      <w:pPr>
        <w:rPr>
          <w:b/>
          <w:sz w:val="28"/>
          <w:szCs w:val="28"/>
          <w:u w:val="single"/>
        </w:rPr>
      </w:pPr>
    </w:p>
    <w:p w:rsidR="00944F44" w:rsidRDefault="00944F44">
      <w:pPr>
        <w:rPr>
          <w:b/>
          <w:sz w:val="28"/>
          <w:szCs w:val="28"/>
          <w:u w:val="single"/>
        </w:rPr>
      </w:pPr>
    </w:p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Saksopplysninger:</w:t>
      </w:r>
    </w:p>
    <w:p w:rsidR="00A87865" w:rsidRDefault="00A87865" w:rsidP="00A87865">
      <w:r w:rsidRPr="000235FD">
        <w:t>De</w:t>
      </w:r>
      <w:r>
        <w:t xml:space="preserve">t er iht bestilling fra rådmannen og godkjent økonomiplan ønskelig å bygge </w:t>
      </w:r>
      <w:r w:rsidR="00803938">
        <w:t xml:space="preserve">ca </w:t>
      </w:r>
      <w:r>
        <w:t>1</w:t>
      </w:r>
      <w:r w:rsidR="00803938">
        <w:t>0</w:t>
      </w:r>
      <w:r>
        <w:t xml:space="preserve"> stk boliger for funksjonshemmede. </w:t>
      </w:r>
    </w:p>
    <w:p w:rsidR="00A87865" w:rsidRDefault="00A87865" w:rsidP="00A87865">
      <w:r>
        <w:t>Sandnes Eiendom</w:t>
      </w:r>
      <w:r w:rsidR="00D01FD5">
        <w:t>sselskap</w:t>
      </w:r>
      <w:r>
        <w:t xml:space="preserve"> KF har i samarbeid med Levekår kommet frem til at dette prosjektet kan plasseres innenfor området TJ1 på Bogafjell</w:t>
      </w:r>
      <w:r w:rsidR="003F081F">
        <w:t xml:space="preserve"> og utvides til 12 </w:t>
      </w:r>
      <w:r w:rsidR="00475193">
        <w:t>bo</w:t>
      </w:r>
      <w:r w:rsidR="003F081F">
        <w:t>enheter</w:t>
      </w:r>
      <w:r>
        <w:t xml:space="preserve">. </w:t>
      </w:r>
      <w:r w:rsidR="00475193">
        <w:t xml:space="preserve">I tillegg skal det bygges personalbase og fellesfunksjoner. </w:t>
      </w:r>
      <w:r>
        <w:t xml:space="preserve">Tomten er regulert til offentlig eller privat tjenesteyting. </w:t>
      </w:r>
    </w:p>
    <w:p w:rsidR="00A87865" w:rsidRDefault="00A87865" w:rsidP="00A87865">
      <w:r>
        <w:t xml:space="preserve">Det er utarbeidet et romprogram av </w:t>
      </w:r>
      <w:r w:rsidR="00D01FD5">
        <w:t xml:space="preserve">en </w:t>
      </w:r>
      <w:r>
        <w:t>byggeprogramkomite`</w:t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t>Byggeprogramkomité</w:t>
      </w:r>
    </w:p>
    <w:p w:rsidR="00A87865" w:rsidRDefault="00A87865" w:rsidP="00A87865">
      <w:r w:rsidRPr="009B14FD">
        <w:t>Fr</w:t>
      </w:r>
      <w:r>
        <w:t>o</w:t>
      </w:r>
      <w:r w:rsidRPr="009B14FD">
        <w:t>de Otto</w:t>
      </w:r>
      <w:r w:rsidRPr="009B14FD">
        <w:tab/>
      </w:r>
      <w:r w:rsidRPr="009B14FD">
        <w:tab/>
        <w:t>Fagstab Levekår</w:t>
      </w:r>
    </w:p>
    <w:p w:rsidR="00DF2655" w:rsidRPr="009B14FD" w:rsidRDefault="001D7230" w:rsidP="00A87865">
      <w:r>
        <w:t>Sigve Engelsvold</w:t>
      </w:r>
      <w:r>
        <w:tab/>
        <w:t>Omsorgssjef Omsorg Øst</w:t>
      </w:r>
    </w:p>
    <w:p w:rsidR="00A87865" w:rsidRPr="009B14FD" w:rsidRDefault="00A87865" w:rsidP="00A87865">
      <w:r>
        <w:t>Kenneth Aas</w:t>
      </w:r>
      <w:r w:rsidRPr="009B14FD">
        <w:tab/>
      </w:r>
      <w:r w:rsidRPr="009B14FD">
        <w:tab/>
      </w:r>
      <w:r>
        <w:t xml:space="preserve">Ark Vest </w:t>
      </w:r>
      <w:r w:rsidRPr="009B14FD">
        <w:t>AS</w:t>
      </w:r>
    </w:p>
    <w:p w:rsidR="00A87865" w:rsidRDefault="00DF2655" w:rsidP="00A87865">
      <w:r>
        <w:t>Morten Braut</w:t>
      </w:r>
      <w:r>
        <w:tab/>
      </w:r>
      <w:r>
        <w:tab/>
      </w:r>
      <w:r w:rsidR="00A87865" w:rsidRPr="009B14FD">
        <w:t>Prosjektleder, S</w:t>
      </w:r>
      <w:r w:rsidR="00A87865">
        <w:t xml:space="preserve">andnes Eiendom </w:t>
      </w:r>
      <w:r w:rsidR="00A87865" w:rsidRPr="009B14FD">
        <w:t xml:space="preserve">KF  </w:t>
      </w:r>
    </w:p>
    <w:p w:rsidR="00A87865" w:rsidRPr="009B14FD" w:rsidRDefault="00BB3FF6" w:rsidP="00A87865">
      <w:r>
        <w:t>Hjørdis Gravdal</w:t>
      </w:r>
      <w:r w:rsidR="00DF2655">
        <w:tab/>
      </w:r>
      <w:r w:rsidR="00A87865">
        <w:tab/>
      </w:r>
      <w:r>
        <w:t>Brukerrepresentant</w:t>
      </w:r>
    </w:p>
    <w:p w:rsidR="00944F44" w:rsidRDefault="00944F44" w:rsidP="00A87865">
      <w:pPr>
        <w:rPr>
          <w:u w:val="single"/>
        </w:rPr>
      </w:pPr>
    </w:p>
    <w:p w:rsidR="00A87865" w:rsidRPr="00A87865" w:rsidRDefault="00A87865" w:rsidP="00A87865">
      <w:pPr>
        <w:rPr>
          <w:u w:val="single"/>
        </w:rPr>
      </w:pPr>
      <w:r>
        <w:rPr>
          <w:u w:val="single"/>
        </w:rPr>
        <w:t>Romprogram</w:t>
      </w:r>
    </w:p>
    <w:tbl>
      <w:tblPr>
        <w:tblpPr w:leftFromText="141" w:rightFromText="141" w:vertAnchor="text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20"/>
        <w:gridCol w:w="2920"/>
      </w:tblGrid>
      <w:tr w:rsidR="00A87865" w:rsidRPr="000235FD" w:rsidTr="006F4136">
        <w:trPr>
          <w:trHeight w:val="4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pPr>
              <w:rPr>
                <w:b/>
                <w:bCs/>
              </w:rPr>
            </w:pPr>
            <w:r>
              <w:rPr>
                <w:b/>
                <w:bCs/>
              </w:rPr>
              <w:t>LEILIGHETER</w:t>
            </w:r>
          </w:p>
          <w:p w:rsidR="00A87865" w:rsidRPr="000235FD" w:rsidRDefault="00A87865" w:rsidP="006F4136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475193" w:rsidP="00475193">
            <w:pPr>
              <w:rPr>
                <w:b/>
                <w:bCs/>
              </w:rPr>
            </w:pPr>
            <w:r>
              <w:rPr>
                <w:b/>
                <w:bCs/>
              </w:rPr>
              <w:t>Areal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865" w:rsidRPr="000235FD" w:rsidRDefault="00475193" w:rsidP="006F4136">
            <w:r>
              <w:t>Merknader</w:t>
            </w: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65" w:rsidRPr="000235FD" w:rsidRDefault="00A87865" w:rsidP="006F4136">
            <w:r>
              <w:t>Leilighet 12stk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pPr>
              <w:rPr>
                <w:b/>
              </w:rPr>
            </w:pPr>
          </w:p>
          <w:p w:rsidR="00A87865" w:rsidRPr="000235FD" w:rsidRDefault="00A87865" w:rsidP="006F4136">
            <w:pPr>
              <w:rPr>
                <w:b/>
              </w:rPr>
            </w:pPr>
            <w:r w:rsidRPr="000235FD">
              <w:rPr>
                <w:b/>
              </w:rPr>
              <w:t>Totalt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2801BA" w:rsidRDefault="00A87865" w:rsidP="006F4136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  <w:r w:rsidRPr="002801BA">
              <w:rPr>
                <w:b/>
              </w:rPr>
              <w:t xml:space="preserve"> m2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r>
              <w:rPr>
                <w:b/>
              </w:rPr>
              <w:t>FELLESOMRÅDER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BB3FF6" w:rsidP="006F4136">
            <w:pPr>
              <w:jc w:val="center"/>
            </w:pPr>
            <w:r>
              <w:t>Deles i to og fordeles på hver etasje.</w:t>
            </w: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r>
              <w:t>Fellesstue med kjøkkenkrok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60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Aktivitetsrom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15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Utebod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15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1D7230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30" w:rsidRDefault="001D7230" w:rsidP="006F4136">
            <w:r>
              <w:t>HWC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1D7230" w:rsidRDefault="001D7230" w:rsidP="006F4136">
            <w:pPr>
              <w:jc w:val="center"/>
            </w:pPr>
            <w: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230" w:rsidRPr="000235FD" w:rsidRDefault="001D7230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pPr>
              <w:rPr>
                <w:bCs/>
              </w:rPr>
            </w:pPr>
          </w:p>
          <w:p w:rsidR="00A87865" w:rsidRPr="000235FD" w:rsidRDefault="00A87865" w:rsidP="006F4136">
            <w:pPr>
              <w:rPr>
                <w:b/>
                <w:bCs/>
              </w:rPr>
            </w:pPr>
            <w:r w:rsidRPr="000235FD">
              <w:rPr>
                <w:b/>
                <w:bCs/>
              </w:rPr>
              <w:t>Totalt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1D7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D723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pPr>
              <w:rPr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Default="00A87865" w:rsidP="006F4136">
            <w:pPr>
              <w:jc w:val="center"/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r>
              <w:rPr>
                <w:b/>
              </w:rPr>
              <w:t>PERSONALOMRÅDE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r>
              <w:t>Personalbase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25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Kontor 2 stk a 9 kvm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18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Nattevakt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Medisinrom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Vaskerom/BK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Garderobe 2 stk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  <w:r>
              <w:t>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RWC med dusj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Default="00A87865" w:rsidP="006F4136">
            <w:pPr>
              <w:jc w:val="center"/>
            </w:pPr>
            <w: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r>
              <w:t>Lager/data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Default="00A87865" w:rsidP="006F4136">
            <w:pPr>
              <w:jc w:val="center"/>
            </w:pPr>
            <w:r>
              <w:t>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>
            <w:pPr>
              <w:rPr>
                <w:bCs/>
              </w:rPr>
            </w:pPr>
          </w:p>
          <w:p w:rsidR="00A87865" w:rsidRPr="000235FD" w:rsidRDefault="00A87865" w:rsidP="006F4136">
            <w:pPr>
              <w:rPr>
                <w:b/>
                <w:bCs/>
              </w:rPr>
            </w:pPr>
            <w:r w:rsidRPr="000235FD">
              <w:rPr>
                <w:b/>
                <w:bCs/>
              </w:rPr>
              <w:t>Totalt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m2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Pr="000235FD" w:rsidRDefault="00A87865" w:rsidP="006F413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  <w:tr w:rsidR="00A87865" w:rsidRPr="000235FD" w:rsidTr="006F4136">
        <w:trPr>
          <w:trHeight w:val="285"/>
        </w:trPr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65" w:rsidRDefault="00A87865" w:rsidP="006F4136">
            <w:pPr>
              <w:rPr>
                <w:bCs/>
              </w:rPr>
            </w:pPr>
          </w:p>
          <w:p w:rsidR="00A87865" w:rsidRPr="007B117D" w:rsidRDefault="00A87865" w:rsidP="006F4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 hele bygget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87865" w:rsidRDefault="00A87865" w:rsidP="001D7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1D7230">
              <w:rPr>
                <w:b/>
                <w:bCs/>
              </w:rPr>
              <w:t>9</w:t>
            </w:r>
            <w:r>
              <w:rPr>
                <w:b/>
                <w:bCs/>
              </w:rPr>
              <w:t>m2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865" w:rsidRPr="000235FD" w:rsidRDefault="00A87865" w:rsidP="006F4136">
            <w:pPr>
              <w:jc w:val="center"/>
            </w:pPr>
          </w:p>
        </w:tc>
      </w:tr>
    </w:tbl>
    <w:p w:rsidR="00A87865" w:rsidRPr="000235FD" w:rsidRDefault="00A87865" w:rsidP="00A87865"/>
    <w:p w:rsidR="00A87865" w:rsidRPr="000235FD" w:rsidRDefault="00A87865" w:rsidP="00A87865">
      <w:r w:rsidRPr="000235FD">
        <w:br w:type="textWrapping" w:clear="all"/>
      </w: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A87865" w:rsidRPr="00944F44" w:rsidRDefault="00A87865" w:rsidP="00A87865">
      <w:pPr>
        <w:rPr>
          <w:u w:val="single"/>
        </w:rPr>
      </w:pPr>
      <w:r w:rsidRPr="00944F44">
        <w:rPr>
          <w:u w:val="single"/>
        </w:rPr>
        <w:t>Behovsvurdering</w:t>
      </w:r>
    </w:p>
    <w:p w:rsidR="00224B40" w:rsidRPr="00224B40" w:rsidRDefault="00224B40" w:rsidP="00224B40">
      <w:r w:rsidRPr="00224B40">
        <w:t>Bystyret behandlet i september 2015 (bsak97/15) en utredning om fremtidig bruk av Hanamyrveien 1. Bystyret gjorde følgende vedtak:</w:t>
      </w:r>
    </w:p>
    <w:p w:rsidR="00224B40" w:rsidRPr="00224B40" w:rsidRDefault="00224B40" w:rsidP="00224B40">
      <w:pPr>
        <w:pStyle w:val="Listeavsnitt"/>
        <w:numPr>
          <w:ilvl w:val="0"/>
          <w:numId w:val="6"/>
        </w:numPr>
      </w:pPr>
      <w:r w:rsidRPr="00224B40">
        <w:t>Rådmannen bes om å tilrettelegge for at Hanamyrveien 1 gjøres om til et senter for personer med psykiske lidelser.</w:t>
      </w:r>
    </w:p>
    <w:p w:rsidR="00224B40" w:rsidRPr="00224B40" w:rsidRDefault="00224B40" w:rsidP="00224B40">
      <w:pPr>
        <w:pStyle w:val="Listeavsnitt"/>
        <w:numPr>
          <w:ilvl w:val="0"/>
          <w:numId w:val="6"/>
        </w:numPr>
      </w:pPr>
      <w:r w:rsidRPr="00224B40">
        <w:t>Beboerne i første etasje tilbys ny bolig i en kommunal bolig tilrettelagt for målgruppen.</w:t>
      </w:r>
    </w:p>
    <w:p w:rsidR="00224B40" w:rsidRPr="00224B40" w:rsidRDefault="00224B40" w:rsidP="00224B40">
      <w:pPr>
        <w:pStyle w:val="Listeavsnitt"/>
        <w:numPr>
          <w:ilvl w:val="0"/>
          <w:numId w:val="6"/>
        </w:numPr>
      </w:pPr>
      <w:r w:rsidRPr="00224B40">
        <w:t>Bystyret forutsetter at det i boligsosial handlingsplan tilføres tilsvarende antall boliger som flyttes ut av Hanamyrveien i et eller flere nye prosjekter.</w:t>
      </w:r>
    </w:p>
    <w:p w:rsidR="00475193" w:rsidRDefault="00475193" w:rsidP="00475193">
      <w:r w:rsidRPr="00475193">
        <w:t xml:space="preserve">I Hanamyrveien 1, 1. etasje er det i dag 12 boenheter for personer med nedsatt funksjonsevne som må erstattes. </w:t>
      </w:r>
      <w:r>
        <w:t xml:space="preserve">I tillegg er det </w:t>
      </w:r>
      <w:r w:rsidRPr="00475193">
        <w:t xml:space="preserve">allerede </w:t>
      </w:r>
      <w:r>
        <w:t xml:space="preserve">et stort behov for boliger </w:t>
      </w:r>
      <w:r w:rsidRPr="00475193">
        <w:t>for de to målgruppene</w:t>
      </w:r>
      <w:r>
        <w:t xml:space="preserve">. Per 31. august </w:t>
      </w:r>
      <w:r>
        <w:lastRenderedPageBreak/>
        <w:t xml:space="preserve">venter 33 personer på bolig for personer med nedsatt funksjonsevne mens 21 personer venter på plass i bofelleskap for personer med psykiske lidelse. </w:t>
      </w:r>
    </w:p>
    <w:p w:rsidR="00475193" w:rsidRDefault="00475193" w:rsidP="00475193">
      <w:r>
        <w:t>I dette prosjektet vil en utvikle erstatningsboliger for beboerne i første etasje i Hanamyrveien i tråd med bystyrets vedtak.</w:t>
      </w:r>
    </w:p>
    <w:p w:rsidR="00475193" w:rsidRPr="00475193" w:rsidRDefault="00475193" w:rsidP="00475193">
      <w:r w:rsidRPr="00475193">
        <w:t xml:space="preserve">Å kunne tilby 12 leilighet i dette prosjektet vil være med å sikre at beboerne her </w:t>
      </w:r>
      <w:r w:rsidRPr="009B14FD">
        <w:t>får et stabilt boforhold i et trygt og godt bomiljø og nabolag</w:t>
      </w:r>
      <w:r w:rsidR="00EE38FC">
        <w:t>. S</w:t>
      </w:r>
      <w:r w:rsidRPr="00475193">
        <w:t xml:space="preserve">amtidig </w:t>
      </w:r>
      <w:r w:rsidR="00EE38FC">
        <w:t>vil d</w:t>
      </w:r>
      <w:r w:rsidRPr="00475193">
        <w:t xml:space="preserve">et medføre reduksjon i ventelistene på bolig for mennesker med psykiske lidelser </w:t>
      </w:r>
      <w:r w:rsidR="00EE38FC">
        <w:t xml:space="preserve">ved at en </w:t>
      </w:r>
      <w:r w:rsidRPr="00475193">
        <w:t>vil kunne tilby 12 nye boenheter i Hanamyrveien 1 til dette formålet.</w:t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t>Byggeprogram</w:t>
      </w:r>
    </w:p>
    <w:p w:rsidR="00A87865" w:rsidRDefault="00224B40" w:rsidP="00A87865">
      <w:r>
        <w:t>F</w:t>
      </w:r>
      <w:r w:rsidR="00A87865" w:rsidRPr="000235FD">
        <w:t xml:space="preserve">orslag </w:t>
      </w:r>
      <w:r w:rsidR="00A87865">
        <w:t>til byggeprogram</w:t>
      </w:r>
      <w:r>
        <w:t xml:space="preserve"> legger opp til </w:t>
      </w:r>
      <w:r w:rsidR="00A87865">
        <w:t>12</w:t>
      </w:r>
      <w:r w:rsidR="00A87865" w:rsidRPr="000235FD">
        <w:t xml:space="preserve"> boenheter</w:t>
      </w:r>
      <w:r w:rsidR="00A87865">
        <w:t xml:space="preserve"> og felles funksjoner. </w:t>
      </w:r>
      <w:r w:rsidR="00803938">
        <w:t xml:space="preserve">Byggeprogram komiteen ser det som mest hensiktsmessig </w:t>
      </w:r>
      <w:r>
        <w:t xml:space="preserve">med 12 boenheter både for å dekke opp for antall beboere i Hanamyrveien, samt å utnytte tomten best mulig. </w:t>
      </w:r>
      <w:r w:rsidR="00DC57E0">
        <w:t xml:space="preserve"> </w:t>
      </w:r>
    </w:p>
    <w:p w:rsidR="00DC57E0" w:rsidRDefault="00DC57E0" w:rsidP="00A87865">
      <w:r>
        <w:t xml:space="preserve">Det er tatt hensyn til at det planlegges å flytte beboere fra </w:t>
      </w:r>
      <w:r w:rsidR="00475193">
        <w:t xml:space="preserve">boenheter i </w:t>
      </w:r>
      <w:r>
        <w:t>Hanamyrveien til</w:t>
      </w:r>
      <w:r w:rsidR="00475193">
        <w:t xml:space="preserve"> nye boenheter i</w:t>
      </w:r>
      <w:r>
        <w:t xml:space="preserve"> dette prosjektet. Brukerrepresentant for de som skal flytte har være med i </w:t>
      </w:r>
      <w:r w:rsidR="00475193">
        <w:t>byggep</w:t>
      </w:r>
      <w:r>
        <w:t xml:space="preserve">rogramkomiteen. </w:t>
      </w:r>
    </w:p>
    <w:p w:rsidR="00A87865" w:rsidRPr="00656060" w:rsidRDefault="00A87865" w:rsidP="00A87865">
      <w:r w:rsidRPr="005F68E6">
        <w:t xml:space="preserve">Arealer til både leiligheter, fellesområder og personaldel er utformet etter </w:t>
      </w:r>
      <w:r>
        <w:t xml:space="preserve">Husbankens </w:t>
      </w:r>
      <w:r w:rsidRPr="005922A9">
        <w:rPr>
          <w:i/>
        </w:rPr>
        <w:t>”veileder for utforming av omsorgsboliger og sykehjem (rom for trygghet og omsorg)”</w:t>
      </w:r>
      <w:r>
        <w:t xml:space="preserve">, og </w:t>
      </w:r>
      <w:r w:rsidRPr="005F68E6">
        <w:t xml:space="preserve">erfaringer </w:t>
      </w:r>
      <w:r>
        <w:t>fra</w:t>
      </w:r>
      <w:r w:rsidRPr="005F68E6">
        <w:t xml:space="preserve"> </w:t>
      </w:r>
      <w:r>
        <w:t xml:space="preserve">våre </w:t>
      </w:r>
      <w:r w:rsidRPr="005F68E6">
        <w:t>andre boliger for funksjonshemmede. Det er lagt vekt på å finne gode løsninger for leilighetene</w:t>
      </w:r>
      <w:r>
        <w:t>,</w:t>
      </w:r>
      <w:r w:rsidRPr="005F68E6">
        <w:t xml:space="preserve"> slik at de fremstår som private og adskilt fra personalfunksjonene. </w:t>
      </w:r>
      <w:r w:rsidRPr="00656060">
        <w:t xml:space="preserve">Leilighetene består av stue med kjøkken, soverom og bad. Alle leilighetene har utvendige sportsboder og terrasser. Fellesområdet består av en stue med kjøkkenfunksjoner, samt et aktivitetsrom. </w:t>
      </w:r>
    </w:p>
    <w:p w:rsidR="00A87865" w:rsidRPr="00656060" w:rsidRDefault="00A87865" w:rsidP="00A87865">
      <w:r w:rsidRPr="00656060">
        <w:t xml:space="preserve">Personaldelen består av kontorer, personalbase og garderober.  Personaldelen har egen inngang. </w:t>
      </w:r>
    </w:p>
    <w:p w:rsidR="00A87865" w:rsidRPr="00656060" w:rsidRDefault="00A87865" w:rsidP="00A87865">
      <w:r w:rsidRPr="00656060">
        <w:t>Utomhusarealet består i hovedsak av P-plass, adkomstveier, grøntareal og boder.</w:t>
      </w:r>
    </w:p>
    <w:p w:rsidR="00A87865" w:rsidRPr="009B14FD" w:rsidRDefault="00A87865" w:rsidP="00A87865">
      <w:r w:rsidRPr="009B14FD">
        <w:t>Bygningene planlegges oppført m/ betong dekke på grunn, m/ vegger, etasje skiller og takkonstruksjon i trevirke.</w:t>
      </w:r>
    </w:p>
    <w:p w:rsidR="00A87865" w:rsidRPr="009B14FD" w:rsidRDefault="00A87865" w:rsidP="00A87865">
      <w:r w:rsidRPr="009B14FD">
        <w:t>Det vil bli opparbeidet arealer for parkeringsplass</w:t>
      </w:r>
      <w:r>
        <w:t xml:space="preserve"> iht reguleringsbestemmelsene. Det er mulig å ta bussen til jobb eller sykle. </w:t>
      </w:r>
    </w:p>
    <w:p w:rsidR="00A87865" w:rsidRDefault="00A87865" w:rsidP="00A87865">
      <w:pPr>
        <w:rPr>
          <w:u w:val="single"/>
        </w:rPr>
      </w:pPr>
      <w:r>
        <w:rPr>
          <w:u w:val="single"/>
        </w:rPr>
        <w:t>Utendørsanlegg</w:t>
      </w:r>
    </w:p>
    <w:p w:rsidR="00A87865" w:rsidRPr="00A87865" w:rsidRDefault="00A87865" w:rsidP="00A87865">
      <w:pPr>
        <w:rPr>
          <w:u w:val="single"/>
        </w:rPr>
      </w:pPr>
      <w:r w:rsidRPr="009B14FD">
        <w:t xml:space="preserve">Felles utearealer skal tilrettelegges for </w:t>
      </w:r>
      <w:r w:rsidR="00475193">
        <w:t>personer med nedsatt funksjonsevne i form av a</w:t>
      </w:r>
      <w:r>
        <w:t xml:space="preserve">vskjermede områder for </w:t>
      </w:r>
      <w:r w:rsidR="00DC57E0">
        <w:t>felles bruk</w:t>
      </w:r>
      <w:r w:rsidR="00475193">
        <w:t xml:space="preserve"> med </w:t>
      </w:r>
      <w:r w:rsidR="00DC57E0">
        <w:t>sitteplasser og felles grill plass</w:t>
      </w:r>
      <w:r w:rsidRPr="009B14FD">
        <w:t xml:space="preserve">. </w:t>
      </w:r>
      <w:r w:rsidR="00475193">
        <w:t>U</w:t>
      </w:r>
      <w:r w:rsidRPr="009B14FD">
        <w:t xml:space="preserve">tearealet </w:t>
      </w:r>
      <w:r w:rsidR="00475193">
        <w:t xml:space="preserve">skal </w:t>
      </w:r>
      <w:r w:rsidRPr="009B14FD">
        <w:t xml:space="preserve">være universelt utformet.  </w:t>
      </w:r>
    </w:p>
    <w:p w:rsidR="00A87865" w:rsidRPr="00E35BCA" w:rsidRDefault="00A87865" w:rsidP="00A87865">
      <w:r w:rsidRPr="009B14FD">
        <w:t xml:space="preserve">Det skal opparbeides </w:t>
      </w:r>
      <w:r>
        <w:t>parkering iht gjeldende reguleringsbestemmelser. Det er tenkt på flerbruk av p plassen slik at det blir minst mulig areal som går bort til p plasser. Det legg</w:t>
      </w:r>
      <w:r w:rsidR="00475193">
        <w:t>es også opp til sykkelparkering for ansatte og beboere.</w:t>
      </w:r>
    </w:p>
    <w:p w:rsidR="00944F44" w:rsidRDefault="00944F44">
      <w:pPr>
        <w:rPr>
          <w:u w:val="single"/>
        </w:rPr>
      </w:pPr>
      <w:r>
        <w:rPr>
          <w:u w:val="single"/>
        </w:rPr>
        <w:br w:type="page"/>
      </w:r>
    </w:p>
    <w:p w:rsidR="00A87865" w:rsidRPr="00C361AB" w:rsidRDefault="00A87865" w:rsidP="00A87865">
      <w:pPr>
        <w:rPr>
          <w:u w:val="single"/>
        </w:rPr>
      </w:pPr>
      <w:r>
        <w:rPr>
          <w:u w:val="single"/>
        </w:rPr>
        <w:lastRenderedPageBreak/>
        <w:t>Beliggenhet</w:t>
      </w:r>
    </w:p>
    <w:p w:rsidR="00A87865" w:rsidRPr="00656060" w:rsidRDefault="00A87865" w:rsidP="00A87865">
      <w:r w:rsidRPr="00656060">
        <w:t xml:space="preserve">Det er i forbindelse med </w:t>
      </w:r>
      <w:r>
        <w:t xml:space="preserve">utarbeiding av reguleringsplan for felt </w:t>
      </w:r>
      <w:r w:rsidRPr="00656060">
        <w:t>A</w:t>
      </w:r>
      <w:r>
        <w:t>U</w:t>
      </w:r>
      <w:r w:rsidRPr="00656060">
        <w:t>0</w:t>
      </w:r>
      <w:r>
        <w:t>1</w:t>
      </w:r>
      <w:r w:rsidRPr="00656060">
        <w:t xml:space="preserve"> </w:t>
      </w:r>
      <w:r>
        <w:t xml:space="preserve">satt av ett område TJ1 </w:t>
      </w:r>
      <w:r w:rsidR="00475193">
        <w:t xml:space="preserve">på 2,65 daa </w:t>
      </w:r>
      <w:r>
        <w:t xml:space="preserve">for offentlig formål. </w:t>
      </w:r>
      <w:r w:rsidR="00072161">
        <w:t>Byggep</w:t>
      </w:r>
      <w:r w:rsidRPr="00656060">
        <w:t xml:space="preserve">rogramkomiteen </w:t>
      </w:r>
      <w:r w:rsidR="00072161">
        <w:t xml:space="preserve">mener </w:t>
      </w:r>
      <w:r w:rsidRPr="00656060">
        <w:t>det</w:t>
      </w:r>
      <w:r w:rsidR="00072161">
        <w:t>te</w:t>
      </w:r>
      <w:r w:rsidRPr="00656060">
        <w:t xml:space="preserve"> er en hensiktsmessig og sentral plassering. Bygget ligger i nærheten av turveier, gang- og sykkelstier, som er tilgjengelig for rullestoler og med fremtidig </w:t>
      </w:r>
      <w:r w:rsidR="00DC57E0">
        <w:t xml:space="preserve">god </w:t>
      </w:r>
      <w:r w:rsidRPr="00656060">
        <w:t>kollektiv dekning.</w:t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t>Tomtesituasjonen</w:t>
      </w:r>
    </w:p>
    <w:p w:rsidR="00A87865" w:rsidRDefault="00A87865" w:rsidP="00A87865">
      <w:r>
        <w:t xml:space="preserve">Det er i samarbeid med arkitekt utarbeidet ett konsept ut fra de forutsetninger som </w:t>
      </w:r>
      <w:r w:rsidR="00072161">
        <w:t xml:space="preserve">ligger </w:t>
      </w:r>
      <w:r>
        <w:t xml:space="preserve">i romprogrammet. </w:t>
      </w:r>
      <w:r w:rsidR="00DC57E0">
        <w:t xml:space="preserve">Tomten er flat og med god utsikt og </w:t>
      </w:r>
      <w:r w:rsidR="00072161">
        <w:t xml:space="preserve">gode </w:t>
      </w:r>
      <w:r w:rsidR="00DC57E0">
        <w:t xml:space="preserve">solforhold. Det er </w:t>
      </w:r>
      <w:r w:rsidR="003F081F">
        <w:t>lagt opp til et</w:t>
      </w:r>
      <w:r w:rsidR="00072161">
        <w:t>t</w:t>
      </w:r>
      <w:r w:rsidR="003F081F">
        <w:t xml:space="preserve"> bygg på</w:t>
      </w:r>
      <w:r w:rsidR="00DC57E0">
        <w:t xml:space="preserve"> </w:t>
      </w:r>
      <w:r w:rsidR="00072161">
        <w:t>to</w:t>
      </w:r>
      <w:r w:rsidR="00DC57E0">
        <w:t xml:space="preserve"> etasjer på denne tomten.</w:t>
      </w:r>
    </w:p>
    <w:p w:rsidR="00A87865" w:rsidRPr="009B14FD" w:rsidRDefault="00A87865" w:rsidP="00A87865">
      <w:r w:rsidRPr="009B14FD">
        <w:t xml:space="preserve">Det </w:t>
      </w:r>
      <w:r>
        <w:t xml:space="preserve">vil bli utarbeidet støyrapport for </w:t>
      </w:r>
      <w:r w:rsidRPr="009B14FD">
        <w:t>skjerming mellom tomt</w:t>
      </w:r>
      <w:r>
        <w:t xml:space="preserve">en og hovedveien. </w:t>
      </w:r>
      <w:r w:rsidRPr="009B14FD">
        <w:t>Prosjektet må likevel ta høyde for Miljøverndepartementas retningslinjer for behandling av støy i arealplanleggingen (rundskriv T-1442) samt kommunale retningslinjer. Dette innebærer at støynivå utendørs på dagtid ikke skal overstige 55db mens innvendig støy ikke skal overstige 30db.</w:t>
      </w:r>
    </w:p>
    <w:p w:rsidR="00A87865" w:rsidRPr="00994F57" w:rsidRDefault="00A87865" w:rsidP="00A87865">
      <w:pPr>
        <w:rPr>
          <w:u w:val="single"/>
        </w:rPr>
      </w:pPr>
      <w:r w:rsidRPr="00994F57">
        <w:rPr>
          <w:u w:val="single"/>
        </w:rPr>
        <w:t xml:space="preserve">Husbanken </w:t>
      </w:r>
    </w:p>
    <w:p w:rsidR="00A87865" w:rsidRDefault="00A87865" w:rsidP="00A87865">
      <w:r w:rsidRPr="00994F57">
        <w:t>Husbanken gir investeringstilskudd til både sykehjem og omsorgsboliger. Målgruppen for tilskuddet er personer med behov for heldøgns helse- og sosialtjenester, uavhengig av alder og diagnose. Tilskuddet kan etter dagens regelverk bare gis til kommuner og det kan ikke videretildeles. Rammen for tilskuddet er ihht. Statsbudsjettet for 201</w:t>
      </w:r>
      <w:r>
        <w:t xml:space="preserve">4 </w:t>
      </w:r>
      <w:r w:rsidRPr="00994F57">
        <w:t xml:space="preserve">for omsorgsboliger med fellesareal, begrenset oppad til kr </w:t>
      </w:r>
      <w:r>
        <w:t>1 530</w:t>
      </w:r>
      <w:r w:rsidRPr="00994F57">
        <w:t>.000 pr boenhet.</w:t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t>Byggekonsept</w:t>
      </w:r>
    </w:p>
    <w:p w:rsidR="00A87865" w:rsidRPr="009B14FD" w:rsidRDefault="00072161" w:rsidP="00A87865">
      <w:r>
        <w:t xml:space="preserve">Entreprenørene kan selv velge byggemetode ut fra tegningene og funksjonsbeskrivelsen. </w:t>
      </w:r>
      <w:r w:rsidR="00A87865">
        <w:t>Byggehåndbok for Sandnes Eiendom</w:t>
      </w:r>
      <w:r w:rsidR="00567273">
        <w:t>sselskap</w:t>
      </w:r>
      <w:r w:rsidR="00A87865">
        <w:t xml:space="preserve"> KF legges til grunn ved utsendelse av entreprisen.</w:t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t>Investeringskalkyle</w:t>
      </w:r>
    </w:p>
    <w:p w:rsidR="00A87865" w:rsidRDefault="00A87865" w:rsidP="00A87865">
      <w:r>
        <w:t xml:space="preserve">Dette prosjektet kommer inn under boligsosialt handlingsprogram </w:t>
      </w:r>
      <w:r w:rsidRPr="009B14FD">
        <w:t>i økonomiplan 201</w:t>
      </w:r>
      <w:r>
        <w:t>5</w:t>
      </w:r>
      <w:r w:rsidRPr="009B14FD">
        <w:t>-201</w:t>
      </w:r>
      <w:r>
        <w:t>8.</w:t>
      </w:r>
      <w:r w:rsidRPr="009B14FD">
        <w:t xml:space="preserve"> </w:t>
      </w:r>
      <w:r>
        <w:t xml:space="preserve">Det er lagt til grunn 4B skjema for kostnadskalkylen. Totale rammer for prosjektet er på 40 mill kroner. </w:t>
      </w:r>
    </w:p>
    <w:p w:rsidR="00A87865" w:rsidRPr="009B14FD" w:rsidRDefault="00A87865" w:rsidP="00A87865">
      <w:r w:rsidRPr="009B14FD">
        <w:t xml:space="preserve">Dette tallet opprettholdes videre til neste fase som blir K2. Når pris fra entreprenør foreligger, vil kostnad bli </w:t>
      </w:r>
      <w:r>
        <w:t xml:space="preserve">endelig </w:t>
      </w:r>
      <w:r w:rsidRPr="009B14FD">
        <w:t xml:space="preserve">justert. </w:t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t>Universell utforming</w:t>
      </w:r>
    </w:p>
    <w:p w:rsidR="00A87865" w:rsidRDefault="00A87865" w:rsidP="00A87865">
      <w:r w:rsidRPr="009B14FD">
        <w:t xml:space="preserve">Det er krav om universell utforming ved bygging av boliger samt tilkomst til </w:t>
      </w:r>
      <w:r>
        <w:t>felles areal</w:t>
      </w:r>
      <w:r w:rsidRPr="009B14FD">
        <w:t>.</w:t>
      </w:r>
      <w:r>
        <w:t xml:space="preserve"> </w:t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t>Energiklasse</w:t>
      </w:r>
    </w:p>
    <w:p w:rsidR="00A87865" w:rsidRDefault="00A87865" w:rsidP="00A87865">
      <w:r w:rsidRPr="009B14FD">
        <w:t>Administrasjon legger til grunn å gjennomføre iht</w:t>
      </w:r>
      <w:r>
        <w:t>.</w:t>
      </w:r>
      <w:r w:rsidRPr="009B14FD">
        <w:t xml:space="preserve"> TEK 10. </w:t>
      </w:r>
      <w:r w:rsidR="00F95223">
        <w:t>Det foreslås at en legger inn lavenergi som opsjon i anbudskonkurransen. Når en får inn tilbudene kan en deretter vurdere merkostnader knyttet til investeringskostnadene opp mot driftsbesparelsene ved valg lavenergitiltak.</w:t>
      </w:r>
    </w:p>
    <w:p w:rsidR="00944F44" w:rsidRDefault="00944F44">
      <w:pPr>
        <w:rPr>
          <w:u w:val="single"/>
        </w:rPr>
      </w:pPr>
      <w:r>
        <w:rPr>
          <w:u w:val="single"/>
        </w:rPr>
        <w:br w:type="page"/>
      </w:r>
    </w:p>
    <w:p w:rsidR="00A87865" w:rsidRPr="00C361AB" w:rsidRDefault="00A87865" w:rsidP="00A87865">
      <w:pPr>
        <w:rPr>
          <w:u w:val="single"/>
        </w:rPr>
      </w:pPr>
      <w:r w:rsidRPr="00C361AB">
        <w:rPr>
          <w:u w:val="single"/>
        </w:rPr>
        <w:lastRenderedPageBreak/>
        <w:t>Fremdrift</w:t>
      </w:r>
    </w:p>
    <w:p w:rsidR="00A87865" w:rsidRDefault="00A87865" w:rsidP="00A87865">
      <w:r>
        <w:t xml:space="preserve">En legger opp til å ha bygget klar for brukerne i slutten av 2017. </w:t>
      </w:r>
    </w:p>
    <w:p w:rsidR="00A87865" w:rsidRDefault="00A87865" w:rsidP="00A87865">
      <w:r>
        <w:rPr>
          <w:u w:val="single"/>
        </w:rPr>
        <w:t>Entrepriseform</w:t>
      </w:r>
    </w:p>
    <w:p w:rsidR="00A87865" w:rsidRDefault="00A87865" w:rsidP="00A87865">
      <w:r>
        <w:t xml:space="preserve">Det er </w:t>
      </w:r>
      <w:r w:rsidR="00072161">
        <w:t>i</w:t>
      </w:r>
      <w:r>
        <w:t xml:space="preserve"> dette prosjektet lagt til grunn at det </w:t>
      </w:r>
      <w:r w:rsidR="00072161">
        <w:t xml:space="preserve">er stort behov for brukertilpasning. </w:t>
      </w:r>
      <w:r>
        <w:t>En forutsetning for å få til det</w:t>
      </w:r>
      <w:r w:rsidR="00072161">
        <w:t>te</w:t>
      </w:r>
      <w:r>
        <w:t xml:space="preserve"> er at vi som utbygger utvikler tegningene sammen med arkitekt og</w:t>
      </w:r>
      <w:r w:rsidR="00072161">
        <w:t xml:space="preserve"> representant for</w:t>
      </w:r>
      <w:r>
        <w:t xml:space="preserve"> bruker.</w:t>
      </w:r>
    </w:p>
    <w:p w:rsidR="00A87865" w:rsidRPr="009B14FD" w:rsidRDefault="00A87865" w:rsidP="00A87865">
      <w:r w:rsidRPr="009B14FD">
        <w:t>Med skissetegninger som basis, vil kostnadene for å utarbeide tilbud reduseres vesentlig, og flere tilbydere vil få anledning til å gi pris. Dette vil medføre at konkurransen om entreprisen øker.</w:t>
      </w:r>
      <w:r>
        <w:t xml:space="preserve"> Dette prosjektet kan leveres som modul bygg. </w:t>
      </w:r>
      <w:r w:rsidRPr="009B14FD">
        <w:t xml:space="preserve">Programkomiteen har vært enig i synet på valg av entrepriseform. </w:t>
      </w:r>
    </w:p>
    <w:p w:rsidR="00A87865" w:rsidRPr="009B14FD" w:rsidRDefault="00A87865" w:rsidP="00A87865">
      <w:r w:rsidRPr="009B14FD">
        <w:t xml:space="preserve">Administrasjon vil anbefale kontrahering i </w:t>
      </w:r>
      <w:r>
        <w:t xml:space="preserve">modifisert </w:t>
      </w:r>
      <w:r w:rsidRPr="009B14FD">
        <w:t>totalentreprise.</w:t>
      </w:r>
    </w:p>
    <w:p w:rsidR="00A87865" w:rsidRPr="00656060" w:rsidRDefault="00A87865" w:rsidP="00A87865">
      <w:r w:rsidRPr="00656060">
        <w:t>Navn på prosjektet er det ønskelig at vi kommer tilbake til ved ett senere tidspunkt. En «navnedugnad» sammen med brukere og andre involverte fremmer forslag til navn.</w:t>
      </w: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567273" w:rsidRDefault="00567273" w:rsidP="00A87865"/>
    <w:p w:rsidR="00A87865" w:rsidRPr="00567273" w:rsidRDefault="00A87865" w:rsidP="00A87865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67273">
        <w:t xml:space="preserve">Byggeprogram iht. beskrivelse godkjennes. </w:t>
      </w:r>
    </w:p>
    <w:p w:rsidR="00A87865" w:rsidRPr="00567273" w:rsidRDefault="00A87865" w:rsidP="00A87865">
      <w:pPr>
        <w:pStyle w:val="Listeavsnitt"/>
      </w:pPr>
    </w:p>
    <w:p w:rsidR="00A87865" w:rsidRPr="00567273" w:rsidRDefault="00A87865" w:rsidP="00A87865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67273">
        <w:t>Prosjektet gjennomføres i modifisert totalentreprise.</w:t>
      </w:r>
      <w:r w:rsidRPr="00567273">
        <w:br/>
      </w:r>
    </w:p>
    <w:p w:rsidR="00A87865" w:rsidRPr="00567273" w:rsidRDefault="00A87865" w:rsidP="00A87865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67273">
        <w:t xml:space="preserve">Prosjektet utvikles og ferdigstilles i </w:t>
      </w:r>
      <w:r w:rsidR="00A56E53" w:rsidRPr="00567273">
        <w:t xml:space="preserve">slutten </w:t>
      </w:r>
      <w:r w:rsidRPr="00567273">
        <w:t>av 2017.</w:t>
      </w:r>
    </w:p>
    <w:p w:rsidR="00C53F87" w:rsidRPr="00567273" w:rsidRDefault="00C53F87" w:rsidP="005A4DBB">
      <w:pPr>
        <w:rPr>
          <w:rFonts w:ascii="Times New Roman" w:hAnsi="Times New Roman" w:cs="Times New Roman"/>
          <w:sz w:val="24"/>
          <w:szCs w:val="24"/>
        </w:rPr>
      </w:pPr>
      <w:bookmarkStart w:id="1" w:name="Start"/>
      <w:bookmarkEnd w:id="1"/>
    </w:p>
    <w:p w:rsidR="00567273" w:rsidRDefault="00567273" w:rsidP="005A4DBB">
      <w:pPr>
        <w:rPr>
          <w:rFonts w:ascii="Times New Roman" w:hAnsi="Times New Roman" w:cs="Times New Roman"/>
          <w:sz w:val="24"/>
          <w:szCs w:val="24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</w:p>
    <w:p w:rsidR="00527055" w:rsidRDefault="00527055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1" w:rsidRDefault="00DA5991" w:rsidP="00B30221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1" w:rsidRDefault="00DA5991" w:rsidP="00B30221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522"/>
    <w:multiLevelType w:val="hybridMultilevel"/>
    <w:tmpl w:val="D02A5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249"/>
    <w:multiLevelType w:val="hybridMultilevel"/>
    <w:tmpl w:val="0B6EC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31B3"/>
    <w:multiLevelType w:val="hybridMultilevel"/>
    <w:tmpl w:val="0CE621FA"/>
    <w:lvl w:ilvl="0" w:tplc="EB8C11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2161"/>
    <w:rsid w:val="00075EBA"/>
    <w:rsid w:val="000835D0"/>
    <w:rsid w:val="00097712"/>
    <w:rsid w:val="000B30FA"/>
    <w:rsid w:val="001269B0"/>
    <w:rsid w:val="00135883"/>
    <w:rsid w:val="00156569"/>
    <w:rsid w:val="001870CE"/>
    <w:rsid w:val="00190A2F"/>
    <w:rsid w:val="00196F0B"/>
    <w:rsid w:val="001D7230"/>
    <w:rsid w:val="001E2546"/>
    <w:rsid w:val="00206A8B"/>
    <w:rsid w:val="00224B40"/>
    <w:rsid w:val="00263933"/>
    <w:rsid w:val="00265A6A"/>
    <w:rsid w:val="003B2054"/>
    <w:rsid w:val="003E1121"/>
    <w:rsid w:val="003F081F"/>
    <w:rsid w:val="00475193"/>
    <w:rsid w:val="00487D79"/>
    <w:rsid w:val="004C093A"/>
    <w:rsid w:val="004E0F9A"/>
    <w:rsid w:val="00527055"/>
    <w:rsid w:val="00567273"/>
    <w:rsid w:val="005A4DBB"/>
    <w:rsid w:val="00627625"/>
    <w:rsid w:val="0068300B"/>
    <w:rsid w:val="006842E6"/>
    <w:rsid w:val="006908BF"/>
    <w:rsid w:val="006F078A"/>
    <w:rsid w:val="006F671A"/>
    <w:rsid w:val="00720FD8"/>
    <w:rsid w:val="00727BEA"/>
    <w:rsid w:val="007404A4"/>
    <w:rsid w:val="00740CC7"/>
    <w:rsid w:val="00781B98"/>
    <w:rsid w:val="00793252"/>
    <w:rsid w:val="007B459C"/>
    <w:rsid w:val="007E2845"/>
    <w:rsid w:val="00803938"/>
    <w:rsid w:val="00835968"/>
    <w:rsid w:val="00847DA3"/>
    <w:rsid w:val="008668CB"/>
    <w:rsid w:val="008C1A3D"/>
    <w:rsid w:val="009043C9"/>
    <w:rsid w:val="0091686D"/>
    <w:rsid w:val="00924E79"/>
    <w:rsid w:val="009435FB"/>
    <w:rsid w:val="00943A83"/>
    <w:rsid w:val="00944F44"/>
    <w:rsid w:val="009679B0"/>
    <w:rsid w:val="009873D1"/>
    <w:rsid w:val="009C5624"/>
    <w:rsid w:val="00A56E53"/>
    <w:rsid w:val="00A87865"/>
    <w:rsid w:val="00AA60A7"/>
    <w:rsid w:val="00AA7F48"/>
    <w:rsid w:val="00AD3D7A"/>
    <w:rsid w:val="00B001C4"/>
    <w:rsid w:val="00B053A0"/>
    <w:rsid w:val="00B107B7"/>
    <w:rsid w:val="00B30221"/>
    <w:rsid w:val="00B30CC1"/>
    <w:rsid w:val="00B52A16"/>
    <w:rsid w:val="00B67FF5"/>
    <w:rsid w:val="00B7732D"/>
    <w:rsid w:val="00BB1A4C"/>
    <w:rsid w:val="00BB3FF6"/>
    <w:rsid w:val="00BC664E"/>
    <w:rsid w:val="00C27D11"/>
    <w:rsid w:val="00C470A3"/>
    <w:rsid w:val="00C53F87"/>
    <w:rsid w:val="00CC5B49"/>
    <w:rsid w:val="00CF4C50"/>
    <w:rsid w:val="00D01FD5"/>
    <w:rsid w:val="00DA5991"/>
    <w:rsid w:val="00DC57E0"/>
    <w:rsid w:val="00DE58E6"/>
    <w:rsid w:val="00DF2655"/>
    <w:rsid w:val="00E336D5"/>
    <w:rsid w:val="00E35F1D"/>
    <w:rsid w:val="00E51D94"/>
    <w:rsid w:val="00E62959"/>
    <w:rsid w:val="00EE38FC"/>
    <w:rsid w:val="00F228E5"/>
    <w:rsid w:val="00F52164"/>
    <w:rsid w:val="00F65156"/>
    <w:rsid w:val="00F95223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E0E4-ABFF-47F2-B839-13429CD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50EC-871A-4AEE-A062-C53C047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2015-11-03T19:05:00Z</dcterms:created>
  <dcterms:modified xsi:type="dcterms:W3CDTF">2015-11-03T19:05:00Z</dcterms:modified>
</cp:coreProperties>
</file>